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EDB" w:rsidRDefault="007F1EDB">
      <w:pPr>
        <w:widowControl w:val="0"/>
        <w:autoSpaceDE w:val="0"/>
        <w:autoSpaceDN w:val="0"/>
        <w:adjustRightInd w:val="0"/>
        <w:rPr>
          <w:rFonts w:ascii="Helvetica Neue" w:hAnsi="Helvetica Neue" w:cs="Helvetica Neue"/>
          <w:sz w:val="24"/>
          <w:szCs w:val="24"/>
        </w:rPr>
      </w:pPr>
      <w:bookmarkStart w:id="0" w:name="_GoBack"/>
      <w:bookmarkEnd w:id="0"/>
      <w:r>
        <w:rPr>
          <w:rFonts w:ascii="Helvetica Neue" w:hAnsi="Helvetica Neue" w:cs="Helvetica Neue"/>
          <w:b/>
          <w:bCs/>
          <w:sz w:val="24"/>
          <w:szCs w:val="24"/>
        </w:rPr>
        <w:t xml:space="preserve">From: </w:t>
      </w:r>
      <w:r>
        <w:rPr>
          <w:rFonts w:ascii="Helvetica Neue" w:hAnsi="Helvetica Neue" w:cs="Helvetica Neue"/>
          <w:sz w:val="24"/>
          <w:szCs w:val="24"/>
        </w:rPr>
        <w:t>Agnès OUZOUNIAN &lt;agnes.ouzounian@inalco.fr&gt;</w:t>
      </w:r>
    </w:p>
    <w:p w:rsidR="007F1EDB" w:rsidRDefault="007F1EDB">
      <w:pPr>
        <w:widowControl w:val="0"/>
        <w:autoSpaceDE w:val="0"/>
        <w:autoSpaceDN w:val="0"/>
        <w:adjustRightInd w:val="0"/>
        <w:rPr>
          <w:rFonts w:ascii="Helvetica Neue" w:hAnsi="Helvetica Neue" w:cs="Helvetica Neue"/>
          <w:sz w:val="24"/>
          <w:szCs w:val="24"/>
        </w:rPr>
      </w:pPr>
      <w:r>
        <w:rPr>
          <w:rFonts w:ascii="Helvetica Neue" w:hAnsi="Helvetica Neue" w:cs="Helvetica Neue"/>
          <w:b/>
          <w:bCs/>
          <w:sz w:val="24"/>
          <w:szCs w:val="24"/>
        </w:rPr>
        <w:t>Subject: catalogue Amis du Centre d’histoire et civilisation de Byzance</w:t>
      </w:r>
    </w:p>
    <w:p w:rsidR="007F1EDB" w:rsidRDefault="007F1EDB">
      <w:pPr>
        <w:widowControl w:val="0"/>
        <w:autoSpaceDE w:val="0"/>
        <w:autoSpaceDN w:val="0"/>
        <w:adjustRightInd w:val="0"/>
        <w:rPr>
          <w:rFonts w:ascii="Helvetica Neue" w:hAnsi="Helvetica Neue" w:cs="Helvetica Neue"/>
          <w:sz w:val="24"/>
          <w:szCs w:val="24"/>
        </w:rPr>
      </w:pPr>
      <w:r>
        <w:rPr>
          <w:rFonts w:ascii="Helvetica Neue" w:hAnsi="Helvetica Neue" w:cs="Helvetica Neue"/>
          <w:b/>
          <w:bCs/>
          <w:sz w:val="24"/>
          <w:szCs w:val="24"/>
        </w:rPr>
        <w:t xml:space="preserve">Date: </w:t>
      </w:r>
      <w:r>
        <w:rPr>
          <w:rFonts w:ascii="Helvetica Neue" w:hAnsi="Helvetica Neue" w:cs="Helvetica Neue"/>
          <w:sz w:val="24"/>
          <w:szCs w:val="24"/>
        </w:rPr>
        <w:t>February 8, 2016 at 15:09:07 EST</w:t>
      </w:r>
    </w:p>
    <w:p w:rsidR="007F1EDB" w:rsidRDefault="007F1EDB">
      <w:pPr>
        <w:widowControl w:val="0"/>
        <w:autoSpaceDE w:val="0"/>
        <w:autoSpaceDN w:val="0"/>
        <w:adjustRightInd w:val="0"/>
        <w:rPr>
          <w:rFonts w:ascii="Helvetica Neue" w:hAnsi="Helvetica Neue" w:cs="Helvetica Neue"/>
          <w:sz w:val="24"/>
          <w:szCs w:val="24"/>
        </w:rPr>
      </w:pPr>
      <w:r>
        <w:rPr>
          <w:rFonts w:ascii="Helvetica Neue" w:hAnsi="Helvetica Neue" w:cs="Helvetica Neue"/>
          <w:b/>
          <w:bCs/>
          <w:sz w:val="24"/>
          <w:szCs w:val="24"/>
        </w:rPr>
        <w:t xml:space="preserve">To: </w:t>
      </w:r>
      <w:r>
        <w:rPr>
          <w:rFonts w:ascii="Helvetica Neue" w:hAnsi="Helvetica Neue" w:cs="Helvetica Neue"/>
          <w:sz w:val="24"/>
          <w:szCs w:val="24"/>
        </w:rPr>
        <w:t>roland@telf.com</w:t>
      </w:r>
    </w:p>
    <w:p w:rsidR="007F1EDB" w:rsidRDefault="007F1EDB">
      <w:pPr>
        <w:widowControl w:val="0"/>
        <w:autoSpaceDE w:val="0"/>
        <w:autoSpaceDN w:val="0"/>
        <w:adjustRightInd w:val="0"/>
        <w:rPr>
          <w:rFonts w:ascii="Helvetica" w:hAnsi="Helvetica" w:cs="Helvetica"/>
          <w:sz w:val="24"/>
          <w:szCs w:val="24"/>
        </w:rPr>
      </w:pPr>
    </w:p>
    <w:p w:rsidR="007F1EDB" w:rsidRDefault="007F1EDB">
      <w:pPr>
        <w:widowControl w:val="0"/>
        <w:autoSpaceDE w:val="0"/>
        <w:autoSpaceDN w:val="0"/>
        <w:adjustRightInd w:val="0"/>
        <w:rPr>
          <w:rFonts w:ascii="Helvetica" w:hAnsi="Helvetica" w:cs="Helvetica"/>
          <w:sz w:val="24"/>
          <w:szCs w:val="24"/>
        </w:rPr>
      </w:pPr>
      <w:r>
        <w:rPr>
          <w:rFonts w:ascii="Helvetica" w:hAnsi="Helvetica" w:cs="Helvetica"/>
          <w:sz w:val="24"/>
          <w:szCs w:val="24"/>
        </w:rPr>
        <w:t>Pour diffusion aux membres de l'AIEA.</w:t>
      </w:r>
    </w:p>
    <w:p w:rsidR="007F1EDB" w:rsidRDefault="007F1EDB">
      <w:pPr>
        <w:widowControl w:val="0"/>
        <w:autoSpaceDE w:val="0"/>
        <w:autoSpaceDN w:val="0"/>
        <w:adjustRightInd w:val="0"/>
        <w:rPr>
          <w:rFonts w:ascii="Helvetica" w:hAnsi="Helvetica" w:cs="Helvetica"/>
          <w:sz w:val="24"/>
          <w:szCs w:val="24"/>
        </w:rPr>
      </w:pPr>
      <w:r>
        <w:rPr>
          <w:rFonts w:ascii="Helvetica" w:hAnsi="Helvetica" w:cs="Helvetica"/>
          <w:sz w:val="24"/>
          <w:szCs w:val="24"/>
        </w:rPr>
        <w:t>Merci,</w:t>
      </w:r>
    </w:p>
    <w:p w:rsidR="007F1EDB" w:rsidRDefault="007F1EDB">
      <w:pPr>
        <w:widowControl w:val="0"/>
        <w:autoSpaceDE w:val="0"/>
        <w:autoSpaceDN w:val="0"/>
        <w:adjustRightInd w:val="0"/>
        <w:rPr>
          <w:rFonts w:ascii="Helvetica" w:hAnsi="Helvetica" w:cs="Helvetica"/>
          <w:sz w:val="24"/>
          <w:szCs w:val="24"/>
        </w:rPr>
      </w:pPr>
      <w:r>
        <w:rPr>
          <w:rFonts w:ascii="Helvetica" w:hAnsi="Helvetica" w:cs="Helvetica"/>
          <w:sz w:val="24"/>
          <w:szCs w:val="24"/>
        </w:rPr>
        <w:t>Agnès Ouzounian</w:t>
      </w:r>
    </w:p>
    <w:p w:rsidR="007F1EDB" w:rsidRDefault="007F1EDB">
      <w:pPr>
        <w:widowControl w:val="0"/>
        <w:autoSpaceDE w:val="0"/>
        <w:autoSpaceDN w:val="0"/>
        <w:adjustRightInd w:val="0"/>
        <w:rPr>
          <w:rFonts w:ascii="Helvetica" w:hAnsi="Helvetica" w:cs="Helvetica"/>
          <w:sz w:val="24"/>
          <w:szCs w:val="24"/>
        </w:rPr>
      </w:pPr>
    </w:p>
    <w:p w:rsidR="007F1EDB" w:rsidRDefault="007F1EDB">
      <w:pPr>
        <w:widowControl w:val="0"/>
        <w:autoSpaceDE w:val="0"/>
        <w:autoSpaceDN w:val="0"/>
        <w:adjustRightInd w:val="0"/>
        <w:rPr>
          <w:rFonts w:ascii="Helvetica" w:hAnsi="Helvetica" w:cs="Helvetica"/>
          <w:sz w:val="24"/>
          <w:szCs w:val="24"/>
        </w:rPr>
      </w:pPr>
      <w:r>
        <w:rPr>
          <w:rFonts w:ascii="Helvetica" w:hAnsi="Helvetica" w:cs="Helvetica"/>
          <w:sz w:val="24"/>
          <w:szCs w:val="24"/>
        </w:rPr>
        <w:t>–</w:t>
      </w:r>
    </w:p>
    <w:p w:rsidR="007F1EDB" w:rsidRDefault="007F1EDB">
      <w:pPr>
        <w:widowControl w:val="0"/>
        <w:autoSpaceDE w:val="0"/>
        <w:autoSpaceDN w:val="0"/>
        <w:adjustRightInd w:val="0"/>
        <w:rPr>
          <w:rFonts w:ascii="Helvetica" w:hAnsi="Helvetica" w:cs="Helvetica"/>
          <w:sz w:val="24"/>
          <w:szCs w:val="24"/>
        </w:rPr>
      </w:pPr>
    </w:p>
    <w:p w:rsidR="007F1EDB" w:rsidRDefault="007F1EDB">
      <w:pPr>
        <w:widowControl w:val="0"/>
        <w:autoSpaceDE w:val="0"/>
        <w:autoSpaceDN w:val="0"/>
        <w:adjustRightInd w:val="0"/>
        <w:rPr>
          <w:rFonts w:ascii="Cambria" w:hAnsi="Cambria" w:cs="Cambria"/>
          <w:sz w:val="28"/>
          <w:szCs w:val="28"/>
        </w:rPr>
      </w:pPr>
      <w:r>
        <w:rPr>
          <w:rFonts w:ascii="Cambria" w:hAnsi="Cambria" w:cs="Cambria"/>
          <w:sz w:val="28"/>
          <w:szCs w:val="28"/>
        </w:rPr>
        <w:t>Dear colleagues,</w:t>
      </w:r>
    </w:p>
    <w:p w:rsidR="007F1EDB" w:rsidRDefault="007F1EDB">
      <w:pPr>
        <w:widowControl w:val="0"/>
        <w:autoSpaceDE w:val="0"/>
        <w:autoSpaceDN w:val="0"/>
        <w:adjustRightInd w:val="0"/>
        <w:rPr>
          <w:rFonts w:ascii="Cambria" w:hAnsi="Cambria" w:cs="Cambria"/>
          <w:sz w:val="28"/>
          <w:szCs w:val="28"/>
        </w:rPr>
      </w:pPr>
    </w:p>
    <w:p w:rsidR="007F1EDB" w:rsidRDefault="007F1EDB">
      <w:pPr>
        <w:widowControl w:val="0"/>
        <w:autoSpaceDE w:val="0"/>
        <w:autoSpaceDN w:val="0"/>
        <w:adjustRightInd w:val="0"/>
        <w:rPr>
          <w:rFonts w:ascii="Cambria" w:hAnsi="Cambria" w:cs="Cambria"/>
          <w:sz w:val="28"/>
          <w:szCs w:val="28"/>
        </w:rPr>
      </w:pPr>
      <w:r>
        <w:rPr>
          <w:rFonts w:ascii="Cambria" w:hAnsi="Cambria" w:cs="Cambria"/>
          <w:sz w:val="28"/>
          <w:szCs w:val="28"/>
        </w:rPr>
        <w:t xml:space="preserve">The Association ACHCByz (Amis du Centre d’histoire et civilisation de Byzance), the leading French publisher in the realm of Byzantine studies, has recently published a collective monograph, directed by Dr. Edda Vardanyan (of Matenadaran), entitled “Horomos Monastery: Art and History,” with contributions by Samvel Karapetyan (Yerevan), Armen Kazaryan (Moscow), Jean-Pierre Mahé (Paris), Karen Matevosyan (Yerevan) and Edda Vardanyan herself. This impressive volume of over 500 pages, with hundreds of photographs mostly published for the first time, is the occasion to draw attention to our other recent publications in the field of Armenian studies. This is, in the first place, the beautiful fully bi-lingual book by E. Vardanyan, Reflets d’Arménie – Reflections of Armenia), presenting the treasures of the Armenian Museum of Paris (the museum, deprived of its exhibition space, has not been accessible for years). The monumental volume of over 900 pages, dedicated to Professor Jean-Pierre Mahé on his 70th anniversary (and known to many among you), carries 47 contributions in English and French, touching all aspects of Armenian studies. The bi-lingual edition of the Chronicle of Lewond (Armenian text revised by Aleksan Hakobyan, French translation and commentary by Bernadette Martin-Hisard and J.-P. Mahé) is now an indispensable tool for every student of medieval Armenian history. </w:t>
      </w:r>
    </w:p>
    <w:p w:rsidR="007F1EDB" w:rsidRDefault="007F1EDB">
      <w:pPr>
        <w:widowControl w:val="0"/>
        <w:autoSpaceDE w:val="0"/>
        <w:autoSpaceDN w:val="0"/>
        <w:adjustRightInd w:val="0"/>
        <w:rPr>
          <w:rFonts w:ascii="Cambria" w:hAnsi="Cambria" w:cs="Cambria"/>
          <w:sz w:val="28"/>
          <w:szCs w:val="28"/>
        </w:rPr>
      </w:pPr>
    </w:p>
    <w:p w:rsidR="007F1EDB" w:rsidRDefault="007F1EDB">
      <w:pPr>
        <w:widowControl w:val="0"/>
        <w:autoSpaceDE w:val="0"/>
        <w:autoSpaceDN w:val="0"/>
        <w:adjustRightInd w:val="0"/>
        <w:rPr>
          <w:rFonts w:ascii="Cambria" w:hAnsi="Cambria" w:cs="Cambria"/>
          <w:sz w:val="28"/>
          <w:szCs w:val="28"/>
        </w:rPr>
      </w:pPr>
      <w:r>
        <w:rPr>
          <w:rFonts w:ascii="Cambria" w:hAnsi="Cambria" w:cs="Cambria"/>
          <w:sz w:val="28"/>
          <w:szCs w:val="28"/>
        </w:rPr>
        <w:t>We would be glad to propose these (and other) publications of our Association with a 25% discount.  See the catalogue enclosed for more details.</w:t>
      </w:r>
    </w:p>
    <w:p w:rsidR="007F1EDB" w:rsidRDefault="007F1EDB">
      <w:pPr>
        <w:widowControl w:val="0"/>
        <w:autoSpaceDE w:val="0"/>
        <w:autoSpaceDN w:val="0"/>
        <w:adjustRightInd w:val="0"/>
        <w:rPr>
          <w:rFonts w:ascii="Cambria" w:hAnsi="Cambria" w:cs="Cambria"/>
          <w:sz w:val="28"/>
          <w:szCs w:val="28"/>
        </w:rPr>
      </w:pPr>
    </w:p>
    <w:p w:rsidR="007F1EDB" w:rsidRDefault="007F1EDB">
      <w:pPr>
        <w:widowControl w:val="0"/>
        <w:autoSpaceDE w:val="0"/>
        <w:autoSpaceDN w:val="0"/>
        <w:adjustRightInd w:val="0"/>
        <w:rPr>
          <w:rFonts w:ascii="Cambria" w:hAnsi="Cambria" w:cs="Cambria"/>
          <w:sz w:val="28"/>
          <w:szCs w:val="28"/>
        </w:rPr>
      </w:pPr>
      <w:r>
        <w:rPr>
          <w:rFonts w:ascii="Cambria" w:hAnsi="Cambria" w:cs="Cambria"/>
          <w:sz w:val="28"/>
          <w:szCs w:val="28"/>
        </w:rPr>
        <w:t>Yours,</w:t>
      </w:r>
    </w:p>
    <w:p w:rsidR="007F1EDB" w:rsidRDefault="007F1EDB">
      <w:pPr>
        <w:widowControl w:val="0"/>
        <w:autoSpaceDE w:val="0"/>
        <w:autoSpaceDN w:val="0"/>
        <w:adjustRightInd w:val="0"/>
        <w:rPr>
          <w:rFonts w:ascii="Cambria" w:hAnsi="Cambria" w:cs="Cambria"/>
          <w:sz w:val="28"/>
          <w:szCs w:val="28"/>
        </w:rPr>
      </w:pPr>
      <w:r>
        <w:rPr>
          <w:rFonts w:ascii="Cambria" w:hAnsi="Cambria" w:cs="Cambria"/>
          <w:sz w:val="28"/>
          <w:szCs w:val="28"/>
        </w:rPr>
        <w:t>Constantin Zuckerman</w:t>
      </w:r>
    </w:p>
    <w:p w:rsidR="007F1EDB" w:rsidRDefault="007F1EDB">
      <w:pPr>
        <w:widowControl w:val="0"/>
        <w:autoSpaceDE w:val="0"/>
        <w:autoSpaceDN w:val="0"/>
        <w:adjustRightInd w:val="0"/>
        <w:rPr>
          <w:rFonts w:ascii="Cambria" w:hAnsi="Cambria" w:cs="Cambria"/>
          <w:sz w:val="28"/>
          <w:szCs w:val="28"/>
        </w:rPr>
      </w:pPr>
      <w:r>
        <w:rPr>
          <w:rFonts w:ascii="Cambria" w:hAnsi="Cambria" w:cs="Cambria"/>
          <w:sz w:val="28"/>
          <w:szCs w:val="28"/>
        </w:rPr>
        <w:t>Directeur d'études à l'Ecole pratique des hautes études</w:t>
      </w:r>
    </w:p>
    <w:p w:rsidR="007F1EDB" w:rsidRDefault="007F1EDB">
      <w:pPr>
        <w:widowControl w:val="0"/>
        <w:autoSpaceDE w:val="0"/>
        <w:autoSpaceDN w:val="0"/>
        <w:adjustRightInd w:val="0"/>
        <w:rPr>
          <w:rFonts w:ascii="Cambria" w:hAnsi="Cambria" w:cs="Cambria"/>
          <w:sz w:val="28"/>
          <w:szCs w:val="28"/>
        </w:rPr>
      </w:pPr>
      <w:r>
        <w:rPr>
          <w:rFonts w:ascii="Cambria" w:hAnsi="Cambria" w:cs="Cambria"/>
          <w:sz w:val="28"/>
          <w:szCs w:val="28"/>
        </w:rPr>
        <w:t xml:space="preserve">trésorier ACHCByz </w:t>
      </w:r>
    </w:p>
    <w:sectPr w:rsidR="007F1EDB">
      <w:pgSz w:w="11900" w:h="16840"/>
      <w:pgMar w:top="1080" w:right="108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D71"/>
    <w:rsid w:val="007F1EDB"/>
    <w:rsid w:val="00B47D71"/>
    <w:rsid w:val="00F05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1626</Characters>
  <Application>Microsoft Macintosh Word</Application>
  <DocSecurity>0</DocSecurity>
  <Lines>13</Lines>
  <Paragraphs>3</Paragraphs>
  <ScaleCrop>false</ScaleCrop>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Roland Telfeyan</cp:lastModifiedBy>
  <cp:revision>2</cp:revision>
  <dcterms:created xsi:type="dcterms:W3CDTF">2016-02-09T01:25:00Z</dcterms:created>
  <dcterms:modified xsi:type="dcterms:W3CDTF">2016-02-09T01:25:00Z</dcterms:modified>
</cp:coreProperties>
</file>